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C282" w14:textId="77777777" w:rsidR="001D57AD" w:rsidRDefault="001D57AD" w:rsidP="008A5275">
      <w:pPr>
        <w:keepNext/>
        <w:rPr>
          <w:b/>
          <w:lang w:eastAsia="zh-CN"/>
        </w:rPr>
      </w:pPr>
    </w:p>
    <w:p w14:paraId="038A8CA3" w14:textId="33C240D7" w:rsidR="008A5275" w:rsidRDefault="008A5275" w:rsidP="008A5275">
      <w:pPr>
        <w:keepNext/>
        <w:rPr>
          <w:b/>
          <w:lang w:eastAsia="zh-CN"/>
        </w:rPr>
      </w:pPr>
      <w:r>
        <w:rPr>
          <w:b/>
          <w:lang w:eastAsia="zh-CN"/>
        </w:rPr>
        <w:t>Effective</w:t>
      </w:r>
      <w:r w:rsidR="000924BC">
        <w:rPr>
          <w:b/>
          <w:lang w:eastAsia="zh-CN"/>
        </w:rPr>
        <w:t xml:space="preserve"> Date</w:t>
      </w:r>
      <w:r>
        <w:rPr>
          <w:b/>
          <w:lang w:eastAsia="zh-CN"/>
        </w:rPr>
        <w:t xml:space="preserve">: </w:t>
      </w:r>
      <w:r w:rsidR="00CA1289">
        <w:rPr>
          <w:b/>
          <w:lang w:eastAsia="zh-CN"/>
        </w:rPr>
        <w:t>January 1, 2020</w:t>
      </w:r>
    </w:p>
    <w:p w14:paraId="7541E922" w14:textId="77777777" w:rsidR="008A5275" w:rsidRDefault="008A5275" w:rsidP="008A5275">
      <w:pPr>
        <w:keepNext/>
        <w:rPr>
          <w:lang w:eastAsia="zh-CN"/>
        </w:rPr>
      </w:pPr>
    </w:p>
    <w:p w14:paraId="7C99A5B9" w14:textId="77777777" w:rsidR="008A5275" w:rsidRPr="008C5085" w:rsidRDefault="008A5275" w:rsidP="008A5275">
      <w:pPr>
        <w:keepNext/>
        <w:jc w:val="center"/>
        <w:rPr>
          <w:b/>
          <w:lang w:eastAsia="zh-CN"/>
        </w:rPr>
      </w:pPr>
      <w:r w:rsidRPr="00BA3A44">
        <w:rPr>
          <w:b/>
          <w:lang w:eastAsia="zh-CN"/>
        </w:rPr>
        <w:t xml:space="preserve">CALIFORNIA CONSUMER PRIVACY ACT </w:t>
      </w:r>
      <w:r>
        <w:rPr>
          <w:b/>
          <w:lang w:eastAsia="zh-CN"/>
        </w:rPr>
        <w:t>PRIVACY NOTICE</w:t>
      </w:r>
    </w:p>
    <w:p w14:paraId="2D77AB76" w14:textId="77777777" w:rsidR="008A5275" w:rsidRDefault="008A5275" w:rsidP="008A5275">
      <w:pPr>
        <w:jc w:val="both"/>
        <w:rPr>
          <w:rFonts w:cs="Arial"/>
          <w:b/>
          <w:highlight w:val="yellow"/>
        </w:rPr>
      </w:pPr>
    </w:p>
    <w:p w14:paraId="64E76580" w14:textId="77777777" w:rsidR="00FF6359" w:rsidRPr="00FF6359" w:rsidRDefault="00FF6359" w:rsidP="00FF6359">
      <w:pPr>
        <w:jc w:val="both"/>
        <w:rPr>
          <w:rFonts w:asciiTheme="minorHAnsi" w:hAnsiTheme="minorHAnsi" w:cstheme="minorHAnsi"/>
          <w:b/>
          <w:highlight w:val="yellow"/>
        </w:rPr>
      </w:pPr>
    </w:p>
    <w:p w14:paraId="62F98E14" w14:textId="6BF8D90D" w:rsidR="008A5275" w:rsidRDefault="00FF6359" w:rsidP="00FF6359">
      <w:pPr>
        <w:pStyle w:val="NormalWeb"/>
        <w:spacing w:before="0" w:beforeAutospacing="0"/>
        <w:jc w:val="both"/>
        <w:rPr>
          <w:rFonts w:asciiTheme="minorHAnsi" w:hAnsiTheme="minorHAnsi" w:cstheme="minorHAnsi"/>
          <w:b/>
          <w:color w:val="414042"/>
          <w:sz w:val="22"/>
          <w:szCs w:val="22"/>
          <w:shd w:val="clear" w:color="auto" w:fill="FFFFFF"/>
        </w:rPr>
      </w:pPr>
      <w:r w:rsidRPr="00FF6359">
        <w:rPr>
          <w:rFonts w:asciiTheme="minorHAnsi" w:hAnsiTheme="minorHAnsi" w:cstheme="minorHAnsi"/>
          <w:b/>
          <w:sz w:val="22"/>
          <w:szCs w:val="22"/>
        </w:rPr>
        <w:t>The McCann Worldgroup and its affiliates and agencies that are part of McCann Worldgroup provide this Privacy Notice which applies to California resident employees, employee applicants</w:t>
      </w:r>
      <w:r w:rsidR="008A5275">
        <w:rPr>
          <w:rFonts w:asciiTheme="minorHAnsi" w:hAnsiTheme="minorHAnsi" w:cstheme="minorHAnsi"/>
          <w:b/>
          <w:color w:val="000000"/>
          <w:sz w:val="22"/>
          <w:szCs w:val="22"/>
        </w:rPr>
        <w:t>, owners, directors, officers,</w:t>
      </w:r>
      <w:r w:rsidR="008A5275" w:rsidRPr="00021BD3">
        <w:rPr>
          <w:rFonts w:asciiTheme="minorHAnsi" w:hAnsiTheme="minorHAnsi" w:cstheme="minorHAnsi"/>
          <w:b/>
          <w:color w:val="000000"/>
          <w:sz w:val="22"/>
          <w:szCs w:val="22"/>
        </w:rPr>
        <w:t xml:space="preserve"> or contractor</w:t>
      </w:r>
      <w:r w:rsidR="008A5275">
        <w:rPr>
          <w:rFonts w:asciiTheme="minorHAnsi" w:hAnsiTheme="minorHAnsi" w:cstheme="minorHAnsi"/>
          <w:b/>
          <w:color w:val="000000"/>
          <w:sz w:val="22"/>
          <w:szCs w:val="22"/>
        </w:rPr>
        <w:t>s</w:t>
      </w:r>
      <w:r w:rsidR="008A5275" w:rsidRPr="00021BD3">
        <w:rPr>
          <w:rFonts w:asciiTheme="minorHAnsi" w:hAnsiTheme="minorHAnsi" w:cstheme="minorHAnsi"/>
          <w:b/>
          <w:color w:val="000000"/>
          <w:sz w:val="22"/>
          <w:szCs w:val="22"/>
        </w:rPr>
        <w:t xml:space="preserve"> of</w:t>
      </w:r>
      <w:r w:rsidR="008A5275">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McCann Worldg</w:t>
      </w:r>
      <w:r w:rsidR="00314BCF">
        <w:rPr>
          <w:rFonts w:asciiTheme="minorHAnsi" w:hAnsiTheme="minorHAnsi" w:cstheme="minorHAnsi"/>
          <w:b/>
          <w:color w:val="000000"/>
          <w:sz w:val="22"/>
          <w:szCs w:val="22"/>
        </w:rPr>
        <w:t>roup</w:t>
      </w:r>
      <w:r w:rsidR="008A5275" w:rsidRPr="00021BD3">
        <w:rPr>
          <w:rFonts w:asciiTheme="minorHAnsi" w:hAnsiTheme="minorHAnsi" w:cstheme="minorHAnsi"/>
          <w:b/>
          <w:color w:val="000000"/>
          <w:sz w:val="22"/>
          <w:szCs w:val="22"/>
        </w:rPr>
        <w:t xml:space="preserve">, including </w:t>
      </w:r>
      <w:r w:rsidR="008A5275">
        <w:rPr>
          <w:rFonts w:asciiTheme="minorHAnsi" w:hAnsiTheme="minorHAnsi" w:cstheme="minorHAnsi"/>
          <w:b/>
          <w:color w:val="000000"/>
          <w:sz w:val="22"/>
          <w:szCs w:val="22"/>
        </w:rPr>
        <w:t xml:space="preserve">as applicable, </w:t>
      </w:r>
      <w:r w:rsidR="008A5275" w:rsidRPr="00021BD3">
        <w:rPr>
          <w:rFonts w:asciiTheme="minorHAnsi" w:hAnsiTheme="minorHAnsi" w:cstheme="minorHAnsi"/>
          <w:b/>
          <w:color w:val="000000"/>
          <w:sz w:val="22"/>
          <w:szCs w:val="22"/>
        </w:rPr>
        <w:t xml:space="preserve">those individuals’ emergency contacts and beneficiaries.  This Privacy Notice sets forth our privacy practices as required by the </w:t>
      </w:r>
      <w:r w:rsidR="008A5275">
        <w:rPr>
          <w:rFonts w:asciiTheme="minorHAnsi" w:hAnsiTheme="minorHAnsi" w:cstheme="minorHAnsi"/>
          <w:b/>
          <w:color w:val="000000"/>
          <w:sz w:val="22"/>
          <w:szCs w:val="22"/>
        </w:rPr>
        <w:t>C</w:t>
      </w:r>
      <w:r w:rsidR="008A5275" w:rsidRPr="00DC3A91">
        <w:rPr>
          <w:rFonts w:asciiTheme="minorHAnsi" w:hAnsiTheme="minorHAnsi" w:cstheme="minorHAnsi"/>
          <w:b/>
          <w:color w:val="000000"/>
          <w:sz w:val="22"/>
          <w:szCs w:val="22"/>
        </w:rPr>
        <w:t>CPA</w:t>
      </w:r>
      <w:r w:rsidR="008A5275">
        <w:rPr>
          <w:rFonts w:asciiTheme="minorHAnsi" w:hAnsiTheme="minorHAnsi" w:cstheme="minorHAnsi"/>
          <w:b/>
          <w:color w:val="000000"/>
          <w:sz w:val="22"/>
          <w:szCs w:val="22"/>
        </w:rPr>
        <w:t xml:space="preserve">.  </w:t>
      </w:r>
      <w:r w:rsidR="008A5275" w:rsidRPr="0004094B">
        <w:rPr>
          <w:rFonts w:asciiTheme="minorHAnsi" w:hAnsiTheme="minorHAnsi" w:cstheme="minorHAnsi"/>
          <w:b/>
          <w:color w:val="000000"/>
          <w:sz w:val="22"/>
          <w:szCs w:val="22"/>
        </w:rPr>
        <w:t xml:space="preserve">Please note, there may be additional or different privacy notices or disclosures that govern our use of your personal </w:t>
      </w:r>
      <w:r w:rsidR="008A5275" w:rsidRPr="00A91843">
        <w:rPr>
          <w:rFonts w:asciiTheme="minorHAnsi" w:hAnsiTheme="minorHAnsi" w:cstheme="minorHAnsi"/>
          <w:b/>
          <w:sz w:val="22"/>
          <w:szCs w:val="22"/>
        </w:rPr>
        <w:t xml:space="preserve">information beyond the CCPA.  Where collection, use and disclosure of personal information is subject to the CCPA, this Privacy Notice shall prevail.  </w:t>
      </w:r>
      <w:bookmarkStart w:id="0" w:name="_GoBack"/>
      <w:bookmarkEnd w:id="0"/>
      <w:r w:rsidR="008A5275" w:rsidRPr="00A91843">
        <w:rPr>
          <w:rFonts w:asciiTheme="minorHAnsi" w:hAnsiTheme="minorHAnsi" w:cstheme="minorHAnsi"/>
          <w:b/>
          <w:sz w:val="22"/>
          <w:szCs w:val="22"/>
        </w:rPr>
        <w:t xml:space="preserve">For collection, use and disclosure of personal information beyond the CCPA, those separate and relevant privacy notices and disclosures shall prevail.  </w:t>
      </w:r>
      <w:r w:rsidR="008A5275" w:rsidRPr="00A91843">
        <w:rPr>
          <w:rFonts w:asciiTheme="minorHAnsi" w:hAnsiTheme="minorHAnsi" w:cstheme="minorHAnsi"/>
          <w:b/>
          <w:sz w:val="22"/>
          <w:szCs w:val="22"/>
          <w:shd w:val="clear" w:color="auto" w:fill="FFFFFF"/>
        </w:rPr>
        <w:t>Any terms defined in the CCPA have the same meaning when used in this notice.</w:t>
      </w:r>
    </w:p>
    <w:p w14:paraId="1ACC88A8" w14:textId="77777777" w:rsidR="008A5275" w:rsidRPr="00992943" w:rsidRDefault="008A5275" w:rsidP="008A5275">
      <w:pPr>
        <w:jc w:val="both"/>
        <w:rPr>
          <w:rFonts w:cs="Arial"/>
          <w:kern w:val="2"/>
        </w:rPr>
      </w:pPr>
      <w:r w:rsidRPr="00254D23">
        <w:rPr>
          <w:rFonts w:cs="Arial"/>
          <w:kern w:val="2"/>
        </w:rPr>
        <w:t xml:space="preserve">Pursuant to the </w:t>
      </w:r>
      <w:r w:rsidRPr="0065260F">
        <w:rPr>
          <w:lang w:eastAsia="zh-CN"/>
        </w:rPr>
        <w:t>California Consumer Privacy Act of 2018 (“</w:t>
      </w:r>
      <w:r w:rsidRPr="0034221C">
        <w:rPr>
          <w:b/>
          <w:lang w:eastAsia="zh-CN"/>
        </w:rPr>
        <w:t>CCPA</w:t>
      </w:r>
      <w:r w:rsidRPr="0065260F">
        <w:rPr>
          <w:lang w:eastAsia="zh-CN"/>
        </w:rPr>
        <w:t>”)</w:t>
      </w:r>
      <w:r w:rsidRPr="00254D23">
        <w:rPr>
          <w:rFonts w:cs="Arial"/>
          <w:kern w:val="2"/>
        </w:rPr>
        <w:t>, we provid</w:t>
      </w:r>
      <w:r>
        <w:rPr>
          <w:rFonts w:cs="Arial"/>
          <w:kern w:val="2"/>
        </w:rPr>
        <w:t>e</w:t>
      </w:r>
      <w:r w:rsidRPr="00254D23">
        <w:rPr>
          <w:rFonts w:cs="Arial"/>
          <w:kern w:val="2"/>
        </w:rPr>
        <w:t xml:space="preserve"> the following details regarding the categories of Personal Information we have collected or disclosed within the preceding </w:t>
      </w:r>
      <w:r>
        <w:rPr>
          <w:rFonts w:cs="Arial"/>
          <w:kern w:val="2"/>
        </w:rPr>
        <w:t>twelve (</w:t>
      </w:r>
      <w:r w:rsidRPr="00254D23">
        <w:rPr>
          <w:rFonts w:cs="Arial"/>
          <w:kern w:val="2"/>
        </w:rPr>
        <w:t>12</w:t>
      </w:r>
      <w:r>
        <w:rPr>
          <w:rFonts w:cs="Arial"/>
          <w:kern w:val="2"/>
        </w:rPr>
        <w:t>)</w:t>
      </w:r>
      <w:r w:rsidRPr="00254D23">
        <w:rPr>
          <w:rFonts w:cs="Arial"/>
          <w:kern w:val="2"/>
        </w:rPr>
        <w:t xml:space="preserve"> months:</w:t>
      </w:r>
      <w:r w:rsidRPr="001A300E">
        <w:rPr>
          <w:rFonts w:cs="Arial"/>
          <w:kern w:val="2"/>
        </w:rPr>
        <w:t xml:space="preserve"> </w:t>
      </w:r>
    </w:p>
    <w:p w14:paraId="33A36462" w14:textId="77777777" w:rsidR="008A5275" w:rsidRPr="00B84FDE" w:rsidRDefault="008A5275" w:rsidP="008A5275">
      <w:pPr>
        <w:pStyle w:val="ListParagraph"/>
        <w:ind w:left="0"/>
        <w:jc w:val="both"/>
        <w:rPr>
          <w:rFonts w:cs="Arial"/>
          <w:b/>
          <w:kern w:val="2"/>
          <w:highlight w:val="cyan"/>
        </w:rPr>
      </w:pPr>
    </w:p>
    <w:p w14:paraId="1E4EC4CB" w14:textId="77777777" w:rsidR="008A5275" w:rsidRDefault="008A5275" w:rsidP="008A5275">
      <w:pPr>
        <w:pStyle w:val="ListParagraph"/>
        <w:numPr>
          <w:ilvl w:val="0"/>
          <w:numId w:val="9"/>
        </w:numPr>
        <w:jc w:val="both"/>
        <w:rPr>
          <w:rFonts w:cs="Arial"/>
        </w:rPr>
      </w:pPr>
      <w:r>
        <w:rPr>
          <w:rFonts w:cs="Arial"/>
        </w:rPr>
        <w:t>We collected the following categories of</w:t>
      </w:r>
      <w:r w:rsidRPr="001A300E">
        <w:rPr>
          <w:rFonts w:cs="Arial"/>
        </w:rPr>
        <w:t xml:space="preserve"> Personal Information</w:t>
      </w:r>
      <w:r>
        <w:rPr>
          <w:rFonts w:cs="Arial"/>
        </w:rPr>
        <w:t>:</w:t>
      </w:r>
    </w:p>
    <w:p w14:paraId="4EE05445" w14:textId="77777777" w:rsidR="008A5275" w:rsidRPr="00F91FC2" w:rsidRDefault="008A5275" w:rsidP="008A5275">
      <w:pPr>
        <w:pStyle w:val="ListParagraph"/>
        <w:numPr>
          <w:ilvl w:val="1"/>
          <w:numId w:val="9"/>
        </w:numPr>
        <w:ind w:left="720"/>
        <w:jc w:val="both"/>
      </w:pPr>
      <w:r w:rsidRPr="00F91FC2">
        <w:t>Identifiers, such as name and government-issued identifier (e.g., Social Security number);</w:t>
      </w:r>
    </w:p>
    <w:p w14:paraId="0F0DC192" w14:textId="77777777" w:rsidR="008A5275" w:rsidRPr="00F91FC2" w:rsidRDefault="008A5275" w:rsidP="008A5275">
      <w:pPr>
        <w:pStyle w:val="ListParagraph"/>
        <w:numPr>
          <w:ilvl w:val="1"/>
          <w:numId w:val="9"/>
        </w:numPr>
        <w:ind w:left="720"/>
        <w:jc w:val="both"/>
      </w:pPr>
      <w:r w:rsidRPr="00F91FC2">
        <w:t xml:space="preserve">Personal information, as defined in the California safeguards law, </w:t>
      </w:r>
      <w:r>
        <w:t xml:space="preserve">including without limitation, </w:t>
      </w:r>
      <w:r w:rsidRPr="007B024C">
        <w:t>name, signature, SSN,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r>
        <w:t>;</w:t>
      </w:r>
      <w:r w:rsidRPr="00F91FC2">
        <w:rPr>
          <w:b/>
        </w:rPr>
        <w:t xml:space="preserve"> </w:t>
      </w:r>
    </w:p>
    <w:p w14:paraId="1DC7C419" w14:textId="77777777" w:rsidR="008A5275" w:rsidRPr="00CE4C03" w:rsidRDefault="008A5275" w:rsidP="008A5275">
      <w:pPr>
        <w:pStyle w:val="ListParagraph"/>
        <w:numPr>
          <w:ilvl w:val="1"/>
          <w:numId w:val="9"/>
        </w:numPr>
        <w:ind w:left="720"/>
        <w:jc w:val="both"/>
      </w:pPr>
      <w:r w:rsidRPr="00F91FC2">
        <w:t xml:space="preserve">Characteristics of protected classifications under California or federal law, </w:t>
      </w:r>
      <w:r w:rsidRPr="00CE4C03">
        <w:t>including without limitation,</w:t>
      </w:r>
      <w:r>
        <w:t xml:space="preserve"> age, gender, medical conditions, marital status, </w:t>
      </w:r>
      <w:r w:rsidRPr="00CE4C03">
        <w:t>sex (including pregnancy, childbirth, breastfeeding, and related medical conditions), race, color, religion or creed, ancestry, national origin, disability, genetic information, AIDS/HIV status, sexual orientation, gender identity and expression, citizenship, primary language, immigration status, military/veteran status, political affiliation/activities, domestic violence victim status, and request for leave</w:t>
      </w:r>
      <w:r>
        <w:t>;</w:t>
      </w:r>
    </w:p>
    <w:p w14:paraId="13BAC68E" w14:textId="77777777" w:rsidR="008A5275" w:rsidRPr="00F91FC2" w:rsidRDefault="008A5275" w:rsidP="008A5275">
      <w:pPr>
        <w:pStyle w:val="ListParagraph"/>
        <w:numPr>
          <w:ilvl w:val="1"/>
          <w:numId w:val="9"/>
        </w:numPr>
        <w:ind w:left="720"/>
        <w:jc w:val="both"/>
      </w:pPr>
      <w:r w:rsidRPr="00F91FC2">
        <w:t>Commercial information, such as transaction in</w:t>
      </w:r>
      <w:r>
        <w:t xml:space="preserve">formation and purchase history; </w:t>
      </w:r>
    </w:p>
    <w:p w14:paraId="7F5FF665" w14:textId="77777777" w:rsidR="008A5275" w:rsidRPr="00F91FC2" w:rsidRDefault="008A5275" w:rsidP="008A5275">
      <w:pPr>
        <w:pStyle w:val="ListParagraph"/>
        <w:numPr>
          <w:ilvl w:val="1"/>
          <w:numId w:val="9"/>
        </w:numPr>
        <w:ind w:left="720"/>
        <w:jc w:val="both"/>
      </w:pPr>
      <w:r w:rsidRPr="00F91FC2">
        <w:t>Biometric information, such a</w:t>
      </w:r>
      <w:r>
        <w:t>s face scans, fingerprints and voiceprints;</w:t>
      </w:r>
    </w:p>
    <w:p w14:paraId="1F7C8577" w14:textId="77777777" w:rsidR="008A5275" w:rsidRPr="00F91FC2" w:rsidRDefault="008A5275" w:rsidP="008A5275">
      <w:pPr>
        <w:pStyle w:val="ListParagraph"/>
        <w:numPr>
          <w:ilvl w:val="1"/>
          <w:numId w:val="9"/>
        </w:numPr>
        <w:ind w:left="720"/>
        <w:jc w:val="both"/>
      </w:pPr>
      <w:r w:rsidRPr="00F91FC2">
        <w:t>Internet or network activity information, such as browsing history and</w:t>
      </w:r>
      <w:r>
        <w:t xml:space="preserve"> interactions with our websites;</w:t>
      </w:r>
    </w:p>
    <w:p w14:paraId="0718FAFA" w14:textId="77777777" w:rsidR="008A5275" w:rsidRPr="00F91FC2" w:rsidRDefault="008A5275" w:rsidP="008A5275">
      <w:pPr>
        <w:pStyle w:val="ListParagraph"/>
        <w:numPr>
          <w:ilvl w:val="1"/>
          <w:numId w:val="9"/>
        </w:numPr>
        <w:ind w:left="720"/>
        <w:jc w:val="both"/>
      </w:pPr>
      <w:r w:rsidRPr="00F91FC2">
        <w:t>Geolocation data, such as device location</w:t>
      </w:r>
      <w:r>
        <w:t>;</w:t>
      </w:r>
    </w:p>
    <w:p w14:paraId="64610D01" w14:textId="77777777" w:rsidR="008A5275" w:rsidRPr="00F91FC2" w:rsidRDefault="008A5275" w:rsidP="008A5275">
      <w:pPr>
        <w:pStyle w:val="ListParagraph"/>
        <w:numPr>
          <w:ilvl w:val="1"/>
          <w:numId w:val="9"/>
        </w:numPr>
        <w:ind w:left="720"/>
        <w:jc w:val="both"/>
      </w:pPr>
      <w:r>
        <w:t xml:space="preserve">Audio, electronic, visual and </w:t>
      </w:r>
      <w:r w:rsidRPr="00F91FC2">
        <w:t>similar information, suc</w:t>
      </w:r>
      <w:r>
        <w:t>h as call and video recordings;</w:t>
      </w:r>
    </w:p>
    <w:p w14:paraId="7A3CC470" w14:textId="77777777" w:rsidR="008A5275" w:rsidRPr="00F91FC2" w:rsidRDefault="008A5275" w:rsidP="008A5275">
      <w:pPr>
        <w:pStyle w:val="ListParagraph"/>
        <w:numPr>
          <w:ilvl w:val="1"/>
          <w:numId w:val="9"/>
        </w:numPr>
        <w:ind w:left="720"/>
        <w:jc w:val="both"/>
      </w:pPr>
      <w:r w:rsidRPr="00F91FC2">
        <w:t>Professional or employment-related information, such as work history and prior employer;</w:t>
      </w:r>
    </w:p>
    <w:p w14:paraId="0848FE2B" w14:textId="77777777" w:rsidR="008A5275" w:rsidRPr="00F91FC2" w:rsidRDefault="008A5275" w:rsidP="008A5275">
      <w:pPr>
        <w:pStyle w:val="ListParagraph"/>
        <w:numPr>
          <w:ilvl w:val="1"/>
          <w:numId w:val="9"/>
        </w:numPr>
        <w:ind w:left="720"/>
        <w:jc w:val="both"/>
      </w:pPr>
      <w:r w:rsidRPr="00F91FC2">
        <w:t>Education information subject to the federal Family Educational Rights and Privacy Act, such as student rec</w:t>
      </w:r>
      <w:r>
        <w:t>ords and directory information;</w:t>
      </w:r>
      <w:r w:rsidRPr="00F91FC2">
        <w:t xml:space="preserve"> and</w:t>
      </w:r>
    </w:p>
    <w:p w14:paraId="734B664C" w14:textId="77777777" w:rsidR="008A5275" w:rsidRPr="00F91FC2" w:rsidRDefault="008A5275" w:rsidP="008A5275">
      <w:pPr>
        <w:pStyle w:val="ListParagraph"/>
        <w:numPr>
          <w:ilvl w:val="1"/>
          <w:numId w:val="9"/>
        </w:numPr>
        <w:ind w:left="720"/>
        <w:jc w:val="both"/>
      </w:pPr>
      <w:r w:rsidRPr="00F91FC2">
        <w:t>Inferences drawn from any of the Personal Inform</w:t>
      </w:r>
      <w:r>
        <w:t>ation listed above to create a profile or summary</w:t>
      </w:r>
      <w:r w:rsidRPr="00F91FC2">
        <w:t xml:space="preserve"> about, for example, an individual’s p</w:t>
      </w:r>
      <w:r>
        <w:t>references and characteristics.</w:t>
      </w:r>
    </w:p>
    <w:p w14:paraId="2EA07808" w14:textId="77777777" w:rsidR="008A5275" w:rsidRDefault="008A5275" w:rsidP="008A5275">
      <w:pPr>
        <w:pStyle w:val="ListParagraph"/>
        <w:ind w:left="0"/>
        <w:jc w:val="both"/>
      </w:pPr>
    </w:p>
    <w:p w14:paraId="5D299FA6" w14:textId="77777777" w:rsidR="008A5275" w:rsidRPr="00964B72" w:rsidRDefault="008A5275" w:rsidP="008A5275">
      <w:pPr>
        <w:pStyle w:val="ListParagraph"/>
        <w:ind w:left="0"/>
        <w:jc w:val="both"/>
        <w:rPr>
          <w:b/>
        </w:rPr>
      </w:pPr>
      <w:r>
        <w:t>We collected this Personal Information directly from California residents themselves, as well as from publicly available databases and third-party sources of information.  We collected Personal Information about our employees’ and other individuals’ emergency contacts and beneficiaries from such employees or other individuals.</w:t>
      </w:r>
    </w:p>
    <w:p w14:paraId="20DE8DDB" w14:textId="77777777" w:rsidR="008A5275" w:rsidRDefault="008A5275" w:rsidP="008A5275">
      <w:pPr>
        <w:pStyle w:val="ListParagraph"/>
        <w:ind w:left="0"/>
        <w:jc w:val="both"/>
      </w:pPr>
    </w:p>
    <w:p w14:paraId="14F4C947" w14:textId="77777777" w:rsidR="008A5275" w:rsidRPr="00992943" w:rsidRDefault="008A5275" w:rsidP="008A5275">
      <w:pPr>
        <w:pStyle w:val="ListParagraph"/>
        <w:ind w:left="0"/>
        <w:jc w:val="both"/>
      </w:pPr>
      <w:r>
        <w:t>W</w:t>
      </w:r>
      <w:r w:rsidRPr="00060B80">
        <w:t xml:space="preserve">e may use this Personal Information to operate, manage, and maintain our business, for our employment purposes, and to </w:t>
      </w:r>
      <w:r>
        <w:t xml:space="preserve">otherwise </w:t>
      </w:r>
      <w:r w:rsidRPr="00060B80">
        <w:t>accomplish our b</w:t>
      </w:r>
      <w:r>
        <w:t>usiness purposes and objectives.  Our business purposes and objectives</w:t>
      </w:r>
      <w:r w:rsidRPr="00060B80">
        <w:t xml:space="preserve"> includ</w:t>
      </w:r>
      <w:r>
        <w:t>e, for example,</w:t>
      </w:r>
      <w:r w:rsidRPr="00060B80">
        <w:t xml:space="preserve"> </w:t>
      </w:r>
      <w:r w:rsidRPr="00F32A31">
        <w:t>develop</w:t>
      </w:r>
      <w:r>
        <w:t>ing and improving</w:t>
      </w:r>
      <w:r w:rsidRPr="00F32A31">
        <w:t xml:space="preserve"> our</w:t>
      </w:r>
      <w:r>
        <w:t xml:space="preserve"> services and programs for our employees; </w:t>
      </w:r>
      <w:r w:rsidRPr="00F32A31">
        <w:t>conduct</w:t>
      </w:r>
      <w:r>
        <w:t>ing</w:t>
      </w:r>
      <w:r w:rsidRPr="00F32A31">
        <w:t xml:space="preserve"> research, analytics, and data analysis; maintain</w:t>
      </w:r>
      <w:r>
        <w:t>ing</w:t>
      </w:r>
      <w:r w:rsidRPr="00F32A31">
        <w:t xml:space="preserve"> our faciliti</w:t>
      </w:r>
      <w:r>
        <w:t>es and infrastructure; undertaking</w:t>
      </w:r>
      <w:r w:rsidRPr="00F32A31">
        <w:t xml:space="preserve"> </w:t>
      </w:r>
      <w:r w:rsidRPr="00F32A31">
        <w:lastRenderedPageBreak/>
        <w:t>quality and safety assurance measures; conduct</w:t>
      </w:r>
      <w:r>
        <w:t>ing</w:t>
      </w:r>
      <w:r w:rsidRPr="00F32A31">
        <w:t xml:space="preserve"> risk and security control</w:t>
      </w:r>
      <w:r>
        <w:t>s</w:t>
      </w:r>
      <w:r w:rsidRPr="00F32A31">
        <w:t xml:space="preserve"> and monitoring; detect</w:t>
      </w:r>
      <w:r>
        <w:t>ing</w:t>
      </w:r>
      <w:r w:rsidRPr="00F32A31">
        <w:t xml:space="preserve"> and prevent</w:t>
      </w:r>
      <w:r>
        <w:t>ing</w:t>
      </w:r>
      <w:r w:rsidRPr="00F32A31">
        <w:t xml:space="preserve"> fraud; perform</w:t>
      </w:r>
      <w:r>
        <w:t>ing</w:t>
      </w:r>
      <w:r w:rsidRPr="00F32A31">
        <w:t xml:space="preserve"> identity verification; perform</w:t>
      </w:r>
      <w:r>
        <w:t>ing</w:t>
      </w:r>
      <w:r w:rsidRPr="00F32A31">
        <w:t xml:space="preserve"> accounting, audit, and other internal functions, such as internal investigations; comply</w:t>
      </w:r>
      <w:r>
        <w:t>ing</w:t>
      </w:r>
      <w:r w:rsidRPr="00F32A31">
        <w:t xml:space="preserve"> with law, legal process, and internal policies; maintain</w:t>
      </w:r>
      <w:r>
        <w:t>ing records; and exercising</w:t>
      </w:r>
      <w:r w:rsidRPr="00F32A31">
        <w:t xml:space="preserve"> and defend</w:t>
      </w:r>
      <w:r>
        <w:t>ing</w:t>
      </w:r>
      <w:r w:rsidRPr="00F32A31">
        <w:t xml:space="preserve"> legal claims.</w:t>
      </w:r>
    </w:p>
    <w:p w14:paraId="0DDA5D8C" w14:textId="77777777" w:rsidR="008A5275" w:rsidRPr="00992943" w:rsidRDefault="008A5275" w:rsidP="008A5275">
      <w:pPr>
        <w:jc w:val="both"/>
        <w:rPr>
          <w:rFonts w:cs="Arial"/>
          <w:b/>
          <w:kern w:val="2"/>
        </w:rPr>
      </w:pPr>
    </w:p>
    <w:p w14:paraId="0D43728B" w14:textId="77777777" w:rsidR="008A5275" w:rsidRPr="00305415" w:rsidRDefault="008A5275" w:rsidP="008A5275">
      <w:pPr>
        <w:numPr>
          <w:ilvl w:val="0"/>
          <w:numId w:val="9"/>
        </w:numPr>
        <w:jc w:val="both"/>
        <w:rPr>
          <w:rFonts w:cs="Arial"/>
          <w:b/>
          <w:kern w:val="2"/>
        </w:rPr>
      </w:pPr>
      <w:r>
        <w:rPr>
          <w:rFonts w:cs="Arial"/>
        </w:rPr>
        <w:t>We</w:t>
      </w:r>
      <w:r w:rsidRPr="001A300E">
        <w:rPr>
          <w:rFonts w:cs="Arial"/>
        </w:rPr>
        <w:t xml:space="preserve"> disclosed</w:t>
      </w:r>
      <w:r>
        <w:rPr>
          <w:rFonts w:cs="Arial"/>
        </w:rPr>
        <w:t xml:space="preserve"> the following Personal Information</w:t>
      </w:r>
      <w:r w:rsidRPr="001A300E">
        <w:rPr>
          <w:rFonts w:cs="Arial"/>
        </w:rPr>
        <w:t xml:space="preserve"> </w:t>
      </w:r>
      <w:r>
        <w:rPr>
          <w:rFonts w:cs="Arial"/>
        </w:rPr>
        <w:t xml:space="preserve">to third parties, </w:t>
      </w:r>
      <w:r w:rsidRPr="005D230F">
        <w:rPr>
          <w:rFonts w:cs="Arial"/>
        </w:rPr>
        <w:t xml:space="preserve">such as our service providers </w:t>
      </w:r>
      <w:r w:rsidRPr="00A34943">
        <w:rPr>
          <w:rFonts w:cs="Arial"/>
        </w:rPr>
        <w:t>and affiliates,</w:t>
      </w:r>
      <w:r w:rsidRPr="001A300E">
        <w:rPr>
          <w:rFonts w:cs="Arial"/>
        </w:rPr>
        <w:t xml:space="preserve"> </w:t>
      </w:r>
      <w:r>
        <w:rPr>
          <w:rFonts w:cs="Arial"/>
        </w:rPr>
        <w:t>for</w:t>
      </w:r>
      <w:r w:rsidRPr="001A300E">
        <w:rPr>
          <w:rFonts w:cs="Arial"/>
        </w:rPr>
        <w:t xml:space="preserve"> our </w:t>
      </w:r>
      <w:r>
        <w:rPr>
          <w:rFonts w:cs="Arial"/>
        </w:rPr>
        <w:t xml:space="preserve">operational </w:t>
      </w:r>
      <w:r w:rsidRPr="001A300E">
        <w:rPr>
          <w:rFonts w:cs="Arial"/>
        </w:rPr>
        <w:t xml:space="preserve">business purposes: </w:t>
      </w:r>
      <w:r>
        <w:rPr>
          <w:rFonts w:cs="Arial"/>
        </w:rPr>
        <w:t xml:space="preserve"> </w:t>
      </w:r>
    </w:p>
    <w:p w14:paraId="6F8DF830" w14:textId="77777777" w:rsidR="008A5275" w:rsidRPr="00F91FC2" w:rsidRDefault="008A5275" w:rsidP="008A5275">
      <w:pPr>
        <w:pStyle w:val="ListParagraph"/>
        <w:numPr>
          <w:ilvl w:val="1"/>
          <w:numId w:val="9"/>
        </w:numPr>
        <w:ind w:left="720"/>
        <w:jc w:val="both"/>
      </w:pPr>
      <w:r w:rsidRPr="00F91FC2">
        <w:t>Identifiers, such as name and government-issued identifier (e.g., Social Security number);</w:t>
      </w:r>
    </w:p>
    <w:p w14:paraId="34774465" w14:textId="77777777" w:rsidR="008A5275" w:rsidRPr="00F91FC2" w:rsidRDefault="008A5275" w:rsidP="008A5275">
      <w:pPr>
        <w:pStyle w:val="ListParagraph"/>
        <w:numPr>
          <w:ilvl w:val="1"/>
          <w:numId w:val="9"/>
        </w:numPr>
        <w:ind w:left="720"/>
        <w:jc w:val="both"/>
      </w:pPr>
      <w:r w:rsidRPr="00F91FC2">
        <w:t xml:space="preserve">Personal information, as defined in the California safeguards law, </w:t>
      </w:r>
      <w:r w:rsidRPr="00474EE8">
        <w:t>including without limitation,</w:t>
      </w:r>
      <w:r>
        <w:t xml:space="preserve"> </w:t>
      </w:r>
      <w:r w:rsidRPr="00474EE8">
        <w:t>name, signature, SSN,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5E87B360" w14:textId="77777777" w:rsidR="008A5275" w:rsidRPr="00F91FC2" w:rsidRDefault="008A5275" w:rsidP="008A5275">
      <w:pPr>
        <w:pStyle w:val="ListParagraph"/>
        <w:numPr>
          <w:ilvl w:val="1"/>
          <w:numId w:val="9"/>
        </w:numPr>
        <w:ind w:left="720"/>
        <w:jc w:val="both"/>
      </w:pPr>
      <w:r w:rsidRPr="00F91FC2">
        <w:t xml:space="preserve">Characteristics of protected classifications under California or federal law, </w:t>
      </w:r>
      <w:r w:rsidRPr="00237566">
        <w:t xml:space="preserve">including without limitation, </w:t>
      </w:r>
      <w:r>
        <w:t>age, gender, medical conditions, marital status,</w:t>
      </w:r>
      <w:r w:rsidRPr="00237566">
        <w:t xml:space="preserve"> sex (including pregnancy, childbirth, breastfeeding, and related medical conditions), race, color, religion or creed, ancestry, national origin, disability, genetic information, AIDS/HIV status, sexual orientation, gender identity and expression, citizenship, primary language, immigration status, military/veteran status, political affiliation/activities, domestic violence victim status, and request for leave</w:t>
      </w:r>
      <w:r>
        <w:t>;</w:t>
      </w:r>
    </w:p>
    <w:p w14:paraId="16F95E2B" w14:textId="77777777" w:rsidR="008A5275" w:rsidRPr="00F91FC2" w:rsidRDefault="008A5275" w:rsidP="008A5275">
      <w:pPr>
        <w:pStyle w:val="ListParagraph"/>
        <w:numPr>
          <w:ilvl w:val="1"/>
          <w:numId w:val="9"/>
        </w:numPr>
        <w:ind w:left="720"/>
        <w:jc w:val="both"/>
      </w:pPr>
      <w:r w:rsidRPr="00F91FC2">
        <w:t>Commercial information, such as transaction in</w:t>
      </w:r>
      <w:r>
        <w:t xml:space="preserve">formation and purchase history; </w:t>
      </w:r>
    </w:p>
    <w:p w14:paraId="779E477F" w14:textId="77777777" w:rsidR="008A5275" w:rsidRPr="00F91FC2" w:rsidRDefault="008A5275" w:rsidP="008A5275">
      <w:pPr>
        <w:pStyle w:val="ListParagraph"/>
        <w:numPr>
          <w:ilvl w:val="1"/>
          <w:numId w:val="9"/>
        </w:numPr>
        <w:ind w:left="720"/>
        <w:jc w:val="both"/>
      </w:pPr>
      <w:r w:rsidRPr="00F91FC2">
        <w:t>Biometric information, such a</w:t>
      </w:r>
      <w:r>
        <w:t>s fingerprints and voiceprints;</w:t>
      </w:r>
    </w:p>
    <w:p w14:paraId="0E29D5F7" w14:textId="77777777" w:rsidR="008A5275" w:rsidRPr="00F91FC2" w:rsidRDefault="008A5275" w:rsidP="008A5275">
      <w:pPr>
        <w:pStyle w:val="ListParagraph"/>
        <w:numPr>
          <w:ilvl w:val="1"/>
          <w:numId w:val="9"/>
        </w:numPr>
        <w:ind w:left="720"/>
        <w:jc w:val="both"/>
      </w:pPr>
      <w:r w:rsidRPr="00F91FC2">
        <w:t>Internet or network activity information, such as browsing history and</w:t>
      </w:r>
      <w:r>
        <w:t xml:space="preserve"> interactions with our websites;</w:t>
      </w:r>
    </w:p>
    <w:p w14:paraId="76021DE6" w14:textId="77777777" w:rsidR="008A5275" w:rsidRPr="00F91FC2" w:rsidRDefault="008A5275" w:rsidP="008A5275">
      <w:pPr>
        <w:pStyle w:val="ListParagraph"/>
        <w:numPr>
          <w:ilvl w:val="1"/>
          <w:numId w:val="9"/>
        </w:numPr>
        <w:ind w:left="720"/>
        <w:jc w:val="both"/>
      </w:pPr>
      <w:r w:rsidRPr="00F91FC2">
        <w:t>Geolocation data, such as device location</w:t>
      </w:r>
      <w:r>
        <w:t>;</w:t>
      </w:r>
    </w:p>
    <w:p w14:paraId="4A41F119" w14:textId="77777777" w:rsidR="008A5275" w:rsidRPr="00F91FC2" w:rsidRDefault="008A5275" w:rsidP="008A5275">
      <w:pPr>
        <w:pStyle w:val="ListParagraph"/>
        <w:numPr>
          <w:ilvl w:val="1"/>
          <w:numId w:val="9"/>
        </w:numPr>
        <w:ind w:left="720"/>
        <w:jc w:val="both"/>
      </w:pPr>
      <w:r>
        <w:t xml:space="preserve">Audio, electronic, visual and </w:t>
      </w:r>
      <w:r w:rsidRPr="00F91FC2">
        <w:t>similar information, suc</w:t>
      </w:r>
      <w:r>
        <w:t>h as call and video recordings;</w:t>
      </w:r>
    </w:p>
    <w:p w14:paraId="5ECB1F53" w14:textId="77777777" w:rsidR="008A5275" w:rsidRPr="00F91FC2" w:rsidRDefault="008A5275" w:rsidP="008A5275">
      <w:pPr>
        <w:pStyle w:val="ListParagraph"/>
        <w:numPr>
          <w:ilvl w:val="1"/>
          <w:numId w:val="9"/>
        </w:numPr>
        <w:ind w:left="720"/>
        <w:jc w:val="both"/>
      </w:pPr>
      <w:r w:rsidRPr="00F91FC2">
        <w:t>Professional or employment-related information, such as work history and prior employer;</w:t>
      </w:r>
    </w:p>
    <w:p w14:paraId="317DABCA" w14:textId="77777777" w:rsidR="008A5275" w:rsidRPr="00F91FC2" w:rsidRDefault="008A5275" w:rsidP="008A5275">
      <w:pPr>
        <w:pStyle w:val="ListParagraph"/>
        <w:numPr>
          <w:ilvl w:val="1"/>
          <w:numId w:val="9"/>
        </w:numPr>
        <w:ind w:left="720"/>
        <w:jc w:val="both"/>
      </w:pPr>
      <w:r w:rsidRPr="00F91FC2">
        <w:t>Education information subject to the federal Family Educational Rights and Privacy Act, such as student rec</w:t>
      </w:r>
      <w:r>
        <w:t>ords and directory information;</w:t>
      </w:r>
      <w:r w:rsidRPr="00F91FC2">
        <w:t xml:space="preserve"> and</w:t>
      </w:r>
    </w:p>
    <w:p w14:paraId="3D3428CB" w14:textId="77777777" w:rsidR="008A5275" w:rsidRPr="001D7B18" w:rsidRDefault="008A5275" w:rsidP="008A5275">
      <w:pPr>
        <w:pStyle w:val="ListParagraph"/>
        <w:numPr>
          <w:ilvl w:val="1"/>
          <w:numId w:val="9"/>
        </w:numPr>
        <w:ind w:left="720"/>
        <w:jc w:val="both"/>
      </w:pPr>
      <w:r w:rsidRPr="00F91FC2">
        <w:t>Inferences drawn from any of the Personal Inform</w:t>
      </w:r>
      <w:r>
        <w:t>ation listed above to create a profile or summary</w:t>
      </w:r>
      <w:r w:rsidRPr="00F91FC2">
        <w:t xml:space="preserve"> about, for example, an individual’s p</w:t>
      </w:r>
      <w:r>
        <w:t>references and characteristics.</w:t>
      </w:r>
    </w:p>
    <w:p w14:paraId="150DC75E" w14:textId="77777777" w:rsidR="008A5275" w:rsidRPr="001D7B18" w:rsidRDefault="008A5275" w:rsidP="008A5275">
      <w:pPr>
        <w:pStyle w:val="ListParagraph"/>
        <w:ind w:left="1440"/>
        <w:jc w:val="both"/>
      </w:pPr>
    </w:p>
    <w:p w14:paraId="4CA62FE6" w14:textId="77777777" w:rsidR="008A5275" w:rsidRPr="001D7B18" w:rsidRDefault="008A5275" w:rsidP="008A5275">
      <w:pPr>
        <w:numPr>
          <w:ilvl w:val="0"/>
          <w:numId w:val="9"/>
        </w:numPr>
        <w:jc w:val="both"/>
        <w:rPr>
          <w:rFonts w:cs="Arial"/>
          <w:b/>
          <w:kern w:val="2"/>
        </w:rPr>
      </w:pPr>
      <w:r w:rsidRPr="001D7B18">
        <w:rPr>
          <w:rFonts w:cs="Arial"/>
        </w:rPr>
        <w:t xml:space="preserve">We have </w:t>
      </w:r>
      <w:r w:rsidRPr="0045560C">
        <w:rPr>
          <w:kern w:val="2"/>
        </w:rPr>
        <w:t>not “sold” Personal Information for purposes of the CCPA</w:t>
      </w:r>
      <w:r>
        <w:rPr>
          <w:kern w:val="2"/>
        </w:rPr>
        <w:t>.</w:t>
      </w:r>
    </w:p>
    <w:p w14:paraId="1E8860B9" w14:textId="77777777" w:rsidR="008A5275" w:rsidRDefault="008A5275" w:rsidP="008A5275">
      <w:pPr>
        <w:jc w:val="both"/>
        <w:rPr>
          <w:rFonts w:cs="Arial"/>
        </w:rPr>
      </w:pPr>
    </w:p>
    <w:p w14:paraId="70F36EB3" w14:textId="77777777" w:rsidR="008A5275" w:rsidRDefault="008A5275" w:rsidP="008A5275">
      <w:pPr>
        <w:jc w:val="both"/>
        <w:rPr>
          <w:rFonts w:cs="Arial"/>
        </w:rPr>
      </w:pPr>
      <w:r w:rsidRPr="001A300E">
        <w:rPr>
          <w:rFonts w:cs="Arial"/>
        </w:rPr>
        <w:t>For purposes of this</w:t>
      </w:r>
      <w:r>
        <w:rPr>
          <w:rFonts w:cs="Arial"/>
        </w:rPr>
        <w:t xml:space="preserve"> CCPA Notice</w:t>
      </w:r>
      <w:r w:rsidRPr="001A300E">
        <w:rPr>
          <w:rFonts w:cs="Arial"/>
        </w:rPr>
        <w:t>, “sold” or “sale” means the disclosure of Personal Information for monetary or other valuable consideration</w:t>
      </w:r>
      <w:r>
        <w:rPr>
          <w:rFonts w:cs="Arial"/>
        </w:rPr>
        <w:t xml:space="preserve"> but does not include, for example, the transfer of Personal Information as an asset that is part of a merger, bankruptcy, or </w:t>
      </w:r>
      <w:r w:rsidRPr="001A300E">
        <w:rPr>
          <w:rFonts w:cs="Arial"/>
          <w:color w:val="000000"/>
        </w:rPr>
        <w:t>other disposition of all or any portion of our business</w:t>
      </w:r>
      <w:r w:rsidRPr="001A300E">
        <w:rPr>
          <w:rFonts w:cs="Arial"/>
        </w:rPr>
        <w:t>.</w:t>
      </w:r>
    </w:p>
    <w:p w14:paraId="45EAAC88" w14:textId="77777777" w:rsidR="008A5275" w:rsidRDefault="008A5275" w:rsidP="008A5275">
      <w:pPr>
        <w:jc w:val="both"/>
        <w:rPr>
          <w:rFonts w:cs="Arial"/>
        </w:rPr>
      </w:pPr>
    </w:p>
    <w:p w14:paraId="56E9BFA3" w14:textId="77777777" w:rsidR="008A5275" w:rsidRDefault="008A5275" w:rsidP="008A5275">
      <w:pPr>
        <w:jc w:val="both"/>
        <w:rPr>
          <w:rFonts w:cs="Arial"/>
        </w:rPr>
      </w:pPr>
      <w:r>
        <w:rPr>
          <w:rFonts w:cs="Arial"/>
        </w:rPr>
        <w:t xml:space="preserve">If you have questions regarding this Privacy Notice, please contact your local Human Resources </w:t>
      </w:r>
      <w:r w:rsidRPr="00141990">
        <w:rPr>
          <w:rFonts w:cs="Arial"/>
        </w:rPr>
        <w:t>department or CCPA Privacy Champion.</w:t>
      </w:r>
    </w:p>
    <w:p w14:paraId="18294D63" w14:textId="77777777" w:rsidR="00550F3C" w:rsidRPr="00D61CB1" w:rsidRDefault="00550F3C" w:rsidP="00EB394D">
      <w:pPr>
        <w:rPr>
          <w:rFonts w:asciiTheme="minorHAnsi" w:hAnsiTheme="minorHAnsi" w:cstheme="minorHAnsi"/>
          <w:lang w:val="en-US"/>
        </w:rPr>
      </w:pPr>
    </w:p>
    <w:sectPr w:rsidR="00550F3C" w:rsidRPr="00D61CB1" w:rsidSect="006B2E7D">
      <w:pgSz w:w="11906" w:h="16838"/>
      <w:pgMar w:top="1440" w:right="1080" w:bottom="117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B85D" w14:textId="77777777" w:rsidR="003C42B1" w:rsidRDefault="003C42B1" w:rsidP="00EB4051">
      <w:r>
        <w:separator/>
      </w:r>
    </w:p>
  </w:endnote>
  <w:endnote w:type="continuationSeparator" w:id="0">
    <w:p w14:paraId="602FCC88" w14:textId="77777777" w:rsidR="003C42B1" w:rsidRDefault="003C42B1" w:rsidP="00EB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BB45" w14:textId="77777777" w:rsidR="003C42B1" w:rsidRDefault="003C42B1" w:rsidP="00EB4051">
      <w:r>
        <w:separator/>
      </w:r>
    </w:p>
  </w:footnote>
  <w:footnote w:type="continuationSeparator" w:id="0">
    <w:p w14:paraId="211DF1E6" w14:textId="77777777" w:rsidR="003C42B1" w:rsidRDefault="003C42B1" w:rsidP="00EB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157"/>
    <w:multiLevelType w:val="hybridMultilevel"/>
    <w:tmpl w:val="5B728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B7A"/>
    <w:multiLevelType w:val="hybridMultilevel"/>
    <w:tmpl w:val="FF669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6C11"/>
    <w:multiLevelType w:val="hybridMultilevel"/>
    <w:tmpl w:val="0DC0D774"/>
    <w:lvl w:ilvl="0" w:tplc="CB749E7E">
      <w:start w:val="1"/>
      <w:numFmt w:val="decimal"/>
      <w:lvlText w:val="(%1)"/>
      <w:lvlJc w:val="left"/>
      <w:pPr>
        <w:ind w:left="360" w:hanging="360"/>
      </w:pPr>
      <w:rPr>
        <w:rFonts w:hint="default"/>
        <w:b w:val="0"/>
      </w:rPr>
    </w:lvl>
    <w:lvl w:ilvl="1" w:tplc="C50AC7F8">
      <w:start w:val="1"/>
      <w:numFmt w:val="upperLetter"/>
      <w:lvlText w:val="%2."/>
      <w:lvlJc w:val="left"/>
      <w:pPr>
        <w:ind w:left="1080" w:hanging="360"/>
      </w:pPr>
      <w:rPr>
        <w:rFonts w:hint="default"/>
      </w:rPr>
    </w:lvl>
    <w:lvl w:ilvl="2" w:tplc="F7168920" w:tentative="1">
      <w:start w:val="1"/>
      <w:numFmt w:val="bullet"/>
      <w:lvlText w:val=""/>
      <w:lvlJc w:val="left"/>
      <w:pPr>
        <w:ind w:left="1800" w:hanging="360"/>
      </w:pPr>
      <w:rPr>
        <w:rFonts w:ascii="Wingdings" w:hAnsi="Wingdings" w:hint="default"/>
      </w:rPr>
    </w:lvl>
    <w:lvl w:ilvl="3" w:tplc="FD1CB16A" w:tentative="1">
      <w:start w:val="1"/>
      <w:numFmt w:val="bullet"/>
      <w:lvlText w:val=""/>
      <w:lvlJc w:val="left"/>
      <w:pPr>
        <w:ind w:left="2520" w:hanging="360"/>
      </w:pPr>
      <w:rPr>
        <w:rFonts w:ascii="Symbol" w:hAnsi="Symbol" w:hint="default"/>
      </w:rPr>
    </w:lvl>
    <w:lvl w:ilvl="4" w:tplc="DC4263B2" w:tentative="1">
      <w:start w:val="1"/>
      <w:numFmt w:val="bullet"/>
      <w:lvlText w:val="o"/>
      <w:lvlJc w:val="left"/>
      <w:pPr>
        <w:ind w:left="3240" w:hanging="360"/>
      </w:pPr>
      <w:rPr>
        <w:rFonts w:ascii="Courier New" w:hAnsi="Courier New" w:cs="Courier New" w:hint="default"/>
      </w:rPr>
    </w:lvl>
    <w:lvl w:ilvl="5" w:tplc="3EB89158" w:tentative="1">
      <w:start w:val="1"/>
      <w:numFmt w:val="bullet"/>
      <w:lvlText w:val=""/>
      <w:lvlJc w:val="left"/>
      <w:pPr>
        <w:ind w:left="3960" w:hanging="360"/>
      </w:pPr>
      <w:rPr>
        <w:rFonts w:ascii="Wingdings" w:hAnsi="Wingdings" w:hint="default"/>
      </w:rPr>
    </w:lvl>
    <w:lvl w:ilvl="6" w:tplc="510804CA" w:tentative="1">
      <w:start w:val="1"/>
      <w:numFmt w:val="bullet"/>
      <w:lvlText w:val=""/>
      <w:lvlJc w:val="left"/>
      <w:pPr>
        <w:ind w:left="4680" w:hanging="360"/>
      </w:pPr>
      <w:rPr>
        <w:rFonts w:ascii="Symbol" w:hAnsi="Symbol" w:hint="default"/>
      </w:rPr>
    </w:lvl>
    <w:lvl w:ilvl="7" w:tplc="115C769E" w:tentative="1">
      <w:start w:val="1"/>
      <w:numFmt w:val="bullet"/>
      <w:lvlText w:val="o"/>
      <w:lvlJc w:val="left"/>
      <w:pPr>
        <w:ind w:left="5400" w:hanging="360"/>
      </w:pPr>
      <w:rPr>
        <w:rFonts w:ascii="Courier New" w:hAnsi="Courier New" w:cs="Courier New" w:hint="default"/>
      </w:rPr>
    </w:lvl>
    <w:lvl w:ilvl="8" w:tplc="EA2E957A" w:tentative="1">
      <w:start w:val="1"/>
      <w:numFmt w:val="bullet"/>
      <w:lvlText w:val=""/>
      <w:lvlJc w:val="left"/>
      <w:pPr>
        <w:ind w:left="6120" w:hanging="360"/>
      </w:pPr>
      <w:rPr>
        <w:rFonts w:ascii="Wingdings" w:hAnsi="Wingdings" w:hint="default"/>
      </w:rPr>
    </w:lvl>
  </w:abstractNum>
  <w:abstractNum w:abstractNumId="3" w15:restartNumberingAfterBreak="0">
    <w:nsid w:val="251435B2"/>
    <w:multiLevelType w:val="hybridMultilevel"/>
    <w:tmpl w:val="00426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95B86"/>
    <w:multiLevelType w:val="hybridMultilevel"/>
    <w:tmpl w:val="CF440A60"/>
    <w:lvl w:ilvl="0" w:tplc="7B26E8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F3C0B"/>
    <w:multiLevelType w:val="hybridMultilevel"/>
    <w:tmpl w:val="4918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446A"/>
    <w:multiLevelType w:val="hybridMultilevel"/>
    <w:tmpl w:val="A968A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8593E"/>
    <w:multiLevelType w:val="hybridMultilevel"/>
    <w:tmpl w:val="B454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31036"/>
    <w:multiLevelType w:val="hybridMultilevel"/>
    <w:tmpl w:val="3D58A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6776B"/>
    <w:multiLevelType w:val="hybridMultilevel"/>
    <w:tmpl w:val="0E647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0"/>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3NDCwNDe2MDS1NDJV0lEKTi0uzszPAykwqgUAjQG0+CwAAAA="/>
  </w:docVars>
  <w:rsids>
    <w:rsidRoot w:val="007F1D05"/>
    <w:rsid w:val="00005194"/>
    <w:rsid w:val="000337AC"/>
    <w:rsid w:val="00057DAC"/>
    <w:rsid w:val="0006558F"/>
    <w:rsid w:val="00084B99"/>
    <w:rsid w:val="000924BC"/>
    <w:rsid w:val="000967E6"/>
    <w:rsid w:val="000C16AD"/>
    <w:rsid w:val="000D1D48"/>
    <w:rsid w:val="000E630A"/>
    <w:rsid w:val="000E7E07"/>
    <w:rsid w:val="000F0E76"/>
    <w:rsid w:val="0013054C"/>
    <w:rsid w:val="001404F5"/>
    <w:rsid w:val="00140C8C"/>
    <w:rsid w:val="001538D9"/>
    <w:rsid w:val="00157753"/>
    <w:rsid w:val="0016162C"/>
    <w:rsid w:val="001656CE"/>
    <w:rsid w:val="00165F43"/>
    <w:rsid w:val="00170A07"/>
    <w:rsid w:val="00181B8A"/>
    <w:rsid w:val="00191C09"/>
    <w:rsid w:val="001961F3"/>
    <w:rsid w:val="001B0BE2"/>
    <w:rsid w:val="001B4499"/>
    <w:rsid w:val="001B5C23"/>
    <w:rsid w:val="001D57AD"/>
    <w:rsid w:val="00205544"/>
    <w:rsid w:val="002153E3"/>
    <w:rsid w:val="00233DC4"/>
    <w:rsid w:val="0023523E"/>
    <w:rsid w:val="002526CF"/>
    <w:rsid w:val="002553A6"/>
    <w:rsid w:val="0027520C"/>
    <w:rsid w:val="002A1E75"/>
    <w:rsid w:val="002B3913"/>
    <w:rsid w:val="002C5637"/>
    <w:rsid w:val="002D075C"/>
    <w:rsid w:val="002D58B8"/>
    <w:rsid w:val="002D6650"/>
    <w:rsid w:val="002E08B2"/>
    <w:rsid w:val="002E527B"/>
    <w:rsid w:val="002F41CE"/>
    <w:rsid w:val="002F47B7"/>
    <w:rsid w:val="00301E93"/>
    <w:rsid w:val="00303A2B"/>
    <w:rsid w:val="00314BCF"/>
    <w:rsid w:val="00351CCA"/>
    <w:rsid w:val="003524F6"/>
    <w:rsid w:val="0035362B"/>
    <w:rsid w:val="003708C3"/>
    <w:rsid w:val="00372D00"/>
    <w:rsid w:val="00386A4C"/>
    <w:rsid w:val="00396B75"/>
    <w:rsid w:val="00397351"/>
    <w:rsid w:val="003A4F49"/>
    <w:rsid w:val="003B07D0"/>
    <w:rsid w:val="003C42B1"/>
    <w:rsid w:val="003C7A27"/>
    <w:rsid w:val="003E0856"/>
    <w:rsid w:val="003E4676"/>
    <w:rsid w:val="0040456C"/>
    <w:rsid w:val="004325F5"/>
    <w:rsid w:val="00452022"/>
    <w:rsid w:val="004614DC"/>
    <w:rsid w:val="00482EF2"/>
    <w:rsid w:val="004953DA"/>
    <w:rsid w:val="00496288"/>
    <w:rsid w:val="00496B90"/>
    <w:rsid w:val="004C105B"/>
    <w:rsid w:val="004C7288"/>
    <w:rsid w:val="004D237B"/>
    <w:rsid w:val="00507749"/>
    <w:rsid w:val="00521E9B"/>
    <w:rsid w:val="00526BA7"/>
    <w:rsid w:val="00540D10"/>
    <w:rsid w:val="00547DC9"/>
    <w:rsid w:val="00550F3C"/>
    <w:rsid w:val="00564822"/>
    <w:rsid w:val="00574326"/>
    <w:rsid w:val="00582577"/>
    <w:rsid w:val="005833DE"/>
    <w:rsid w:val="00584873"/>
    <w:rsid w:val="005878AD"/>
    <w:rsid w:val="00594601"/>
    <w:rsid w:val="005B2B23"/>
    <w:rsid w:val="005C7EF8"/>
    <w:rsid w:val="005E3867"/>
    <w:rsid w:val="005F02BC"/>
    <w:rsid w:val="006348A9"/>
    <w:rsid w:val="00637546"/>
    <w:rsid w:val="00667EA3"/>
    <w:rsid w:val="006841CD"/>
    <w:rsid w:val="006B2E78"/>
    <w:rsid w:val="006B2E7D"/>
    <w:rsid w:val="006D7870"/>
    <w:rsid w:val="006F335E"/>
    <w:rsid w:val="00702812"/>
    <w:rsid w:val="00717C19"/>
    <w:rsid w:val="0072613E"/>
    <w:rsid w:val="00742A14"/>
    <w:rsid w:val="00745D93"/>
    <w:rsid w:val="00750E16"/>
    <w:rsid w:val="007624DA"/>
    <w:rsid w:val="007A0719"/>
    <w:rsid w:val="007A2115"/>
    <w:rsid w:val="007A5ECD"/>
    <w:rsid w:val="007B592C"/>
    <w:rsid w:val="007C0618"/>
    <w:rsid w:val="007D03A5"/>
    <w:rsid w:val="007D201E"/>
    <w:rsid w:val="007F1D05"/>
    <w:rsid w:val="00805B56"/>
    <w:rsid w:val="008265BC"/>
    <w:rsid w:val="008370ED"/>
    <w:rsid w:val="0084427A"/>
    <w:rsid w:val="008609EE"/>
    <w:rsid w:val="0086771A"/>
    <w:rsid w:val="00873906"/>
    <w:rsid w:val="00893420"/>
    <w:rsid w:val="008A5275"/>
    <w:rsid w:val="008A72FC"/>
    <w:rsid w:val="008C4D11"/>
    <w:rsid w:val="008C506C"/>
    <w:rsid w:val="00924874"/>
    <w:rsid w:val="009476EA"/>
    <w:rsid w:val="00955ABF"/>
    <w:rsid w:val="00990344"/>
    <w:rsid w:val="00991985"/>
    <w:rsid w:val="00994B37"/>
    <w:rsid w:val="009D23CB"/>
    <w:rsid w:val="009E7488"/>
    <w:rsid w:val="00A030B7"/>
    <w:rsid w:val="00A26B6D"/>
    <w:rsid w:val="00A33178"/>
    <w:rsid w:val="00A3367F"/>
    <w:rsid w:val="00A4718C"/>
    <w:rsid w:val="00A60BA4"/>
    <w:rsid w:val="00A92B43"/>
    <w:rsid w:val="00AA7C7A"/>
    <w:rsid w:val="00AC2E76"/>
    <w:rsid w:val="00AC751E"/>
    <w:rsid w:val="00AC7F02"/>
    <w:rsid w:val="00AD13FB"/>
    <w:rsid w:val="00AD4933"/>
    <w:rsid w:val="00AD4CC7"/>
    <w:rsid w:val="00AE319A"/>
    <w:rsid w:val="00AF2F8D"/>
    <w:rsid w:val="00B139CC"/>
    <w:rsid w:val="00B17A7E"/>
    <w:rsid w:val="00B366B1"/>
    <w:rsid w:val="00B61DA1"/>
    <w:rsid w:val="00B6413F"/>
    <w:rsid w:val="00B70E16"/>
    <w:rsid w:val="00B75B82"/>
    <w:rsid w:val="00B80E83"/>
    <w:rsid w:val="00B84190"/>
    <w:rsid w:val="00B85388"/>
    <w:rsid w:val="00B85771"/>
    <w:rsid w:val="00B96DC8"/>
    <w:rsid w:val="00B97630"/>
    <w:rsid w:val="00BA2629"/>
    <w:rsid w:val="00BB0B2D"/>
    <w:rsid w:val="00BB11C3"/>
    <w:rsid w:val="00BC4416"/>
    <w:rsid w:val="00BF59CD"/>
    <w:rsid w:val="00C156EB"/>
    <w:rsid w:val="00C37C42"/>
    <w:rsid w:val="00C47CAB"/>
    <w:rsid w:val="00C52404"/>
    <w:rsid w:val="00C63C41"/>
    <w:rsid w:val="00C66748"/>
    <w:rsid w:val="00C7021D"/>
    <w:rsid w:val="00C82814"/>
    <w:rsid w:val="00C9410A"/>
    <w:rsid w:val="00CA1289"/>
    <w:rsid w:val="00CF3BDF"/>
    <w:rsid w:val="00D01C99"/>
    <w:rsid w:val="00D10572"/>
    <w:rsid w:val="00D24284"/>
    <w:rsid w:val="00D61CB1"/>
    <w:rsid w:val="00DA1C6D"/>
    <w:rsid w:val="00DD47F9"/>
    <w:rsid w:val="00DD6EEC"/>
    <w:rsid w:val="00DE1D59"/>
    <w:rsid w:val="00DE4D5B"/>
    <w:rsid w:val="00E0703A"/>
    <w:rsid w:val="00E21CD9"/>
    <w:rsid w:val="00E244CF"/>
    <w:rsid w:val="00E27527"/>
    <w:rsid w:val="00E33685"/>
    <w:rsid w:val="00E34A59"/>
    <w:rsid w:val="00E5206A"/>
    <w:rsid w:val="00E634A5"/>
    <w:rsid w:val="00E65741"/>
    <w:rsid w:val="00E66888"/>
    <w:rsid w:val="00E95011"/>
    <w:rsid w:val="00E96BFB"/>
    <w:rsid w:val="00EB0831"/>
    <w:rsid w:val="00EB3725"/>
    <w:rsid w:val="00EB394D"/>
    <w:rsid w:val="00EB4051"/>
    <w:rsid w:val="00EB7E92"/>
    <w:rsid w:val="00EC73D9"/>
    <w:rsid w:val="00ED30A4"/>
    <w:rsid w:val="00F0176C"/>
    <w:rsid w:val="00F162FB"/>
    <w:rsid w:val="00F23F02"/>
    <w:rsid w:val="00F26917"/>
    <w:rsid w:val="00F9130A"/>
    <w:rsid w:val="00F93D44"/>
    <w:rsid w:val="00FC5185"/>
    <w:rsid w:val="00FD381A"/>
    <w:rsid w:val="00FD4A1A"/>
    <w:rsid w:val="00FE47AC"/>
    <w:rsid w:val="00FF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D682"/>
  <w15:chartTrackingRefBased/>
  <w15:docId w15:val="{C5164A45-A621-41A6-84B4-536E0FB8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09"/>
    <w:pPr>
      <w:ind w:left="720"/>
      <w:contextualSpacing/>
    </w:pPr>
  </w:style>
  <w:style w:type="paragraph" w:styleId="Header">
    <w:name w:val="header"/>
    <w:basedOn w:val="Normal"/>
    <w:link w:val="HeaderChar"/>
    <w:uiPriority w:val="99"/>
    <w:unhideWhenUsed/>
    <w:rsid w:val="00EB4051"/>
    <w:pPr>
      <w:tabs>
        <w:tab w:val="center" w:pos="4513"/>
        <w:tab w:val="right" w:pos="9026"/>
      </w:tabs>
    </w:pPr>
  </w:style>
  <w:style w:type="character" w:customStyle="1" w:styleId="HeaderChar">
    <w:name w:val="Header Char"/>
    <w:basedOn w:val="DefaultParagraphFont"/>
    <w:link w:val="Header"/>
    <w:uiPriority w:val="99"/>
    <w:rsid w:val="00EB4051"/>
    <w:rPr>
      <w:rFonts w:ascii="Calibri" w:hAnsi="Calibri" w:cs="Calibri"/>
      <w:lang w:eastAsia="en-GB"/>
    </w:rPr>
  </w:style>
  <w:style w:type="paragraph" w:styleId="Footer">
    <w:name w:val="footer"/>
    <w:basedOn w:val="Normal"/>
    <w:link w:val="FooterChar"/>
    <w:uiPriority w:val="99"/>
    <w:unhideWhenUsed/>
    <w:rsid w:val="00EB4051"/>
    <w:pPr>
      <w:tabs>
        <w:tab w:val="center" w:pos="4513"/>
        <w:tab w:val="right" w:pos="9026"/>
      </w:tabs>
    </w:pPr>
  </w:style>
  <w:style w:type="character" w:customStyle="1" w:styleId="FooterChar">
    <w:name w:val="Footer Char"/>
    <w:basedOn w:val="DefaultParagraphFont"/>
    <w:link w:val="Footer"/>
    <w:uiPriority w:val="99"/>
    <w:rsid w:val="00EB4051"/>
    <w:rPr>
      <w:rFonts w:ascii="Calibri" w:hAnsi="Calibri" w:cs="Calibri"/>
      <w:lang w:eastAsia="en-GB"/>
    </w:rPr>
  </w:style>
  <w:style w:type="character" w:styleId="IntenseEmphasis">
    <w:name w:val="Intense Emphasis"/>
    <w:basedOn w:val="DefaultParagraphFont"/>
    <w:uiPriority w:val="21"/>
    <w:qFormat/>
    <w:rsid w:val="00DE4D5B"/>
    <w:rPr>
      <w:i/>
      <w:iCs/>
      <w:color w:val="5B9BD5" w:themeColor="accent1"/>
    </w:rPr>
  </w:style>
  <w:style w:type="paragraph" w:styleId="BalloonText">
    <w:name w:val="Balloon Text"/>
    <w:basedOn w:val="Normal"/>
    <w:link w:val="BalloonTextChar"/>
    <w:uiPriority w:val="99"/>
    <w:semiHidden/>
    <w:unhideWhenUsed/>
    <w:rsid w:val="00B97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30"/>
    <w:rPr>
      <w:rFonts w:ascii="Segoe UI" w:hAnsi="Segoe UI" w:cs="Segoe UI"/>
      <w:sz w:val="18"/>
      <w:szCs w:val="18"/>
      <w:lang w:eastAsia="en-GB"/>
    </w:rPr>
  </w:style>
  <w:style w:type="character" w:styleId="CommentReference">
    <w:name w:val="annotation reference"/>
    <w:basedOn w:val="DefaultParagraphFont"/>
    <w:uiPriority w:val="99"/>
    <w:unhideWhenUsed/>
    <w:rsid w:val="00ED30A4"/>
    <w:rPr>
      <w:sz w:val="16"/>
      <w:szCs w:val="16"/>
    </w:rPr>
  </w:style>
  <w:style w:type="paragraph" w:styleId="CommentText">
    <w:name w:val="annotation text"/>
    <w:basedOn w:val="Normal"/>
    <w:link w:val="CommentTextChar"/>
    <w:uiPriority w:val="99"/>
    <w:unhideWhenUsed/>
    <w:rsid w:val="00ED30A4"/>
    <w:rPr>
      <w:sz w:val="20"/>
      <w:szCs w:val="20"/>
    </w:rPr>
  </w:style>
  <w:style w:type="character" w:customStyle="1" w:styleId="CommentTextChar">
    <w:name w:val="Comment Text Char"/>
    <w:basedOn w:val="DefaultParagraphFont"/>
    <w:link w:val="CommentText"/>
    <w:uiPriority w:val="99"/>
    <w:rsid w:val="00ED30A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D30A4"/>
    <w:rPr>
      <w:b/>
      <w:bCs/>
    </w:rPr>
  </w:style>
  <w:style w:type="character" w:customStyle="1" w:styleId="CommentSubjectChar">
    <w:name w:val="Comment Subject Char"/>
    <w:basedOn w:val="CommentTextChar"/>
    <w:link w:val="CommentSubject"/>
    <w:uiPriority w:val="99"/>
    <w:semiHidden/>
    <w:rsid w:val="00ED30A4"/>
    <w:rPr>
      <w:rFonts w:ascii="Calibri" w:hAnsi="Calibri" w:cs="Calibri"/>
      <w:b/>
      <w:bCs/>
      <w:sz w:val="20"/>
      <w:szCs w:val="20"/>
      <w:lang w:eastAsia="en-GB"/>
    </w:rPr>
  </w:style>
  <w:style w:type="character" w:styleId="Hyperlink">
    <w:name w:val="Hyperlink"/>
    <w:basedOn w:val="DefaultParagraphFont"/>
    <w:uiPriority w:val="99"/>
    <w:unhideWhenUsed/>
    <w:rsid w:val="00D24284"/>
    <w:rPr>
      <w:color w:val="0000FF"/>
      <w:u w:val="single"/>
    </w:rPr>
  </w:style>
  <w:style w:type="paragraph" w:styleId="NormalWeb">
    <w:name w:val="Normal (Web)"/>
    <w:basedOn w:val="Normal"/>
    <w:uiPriority w:val="99"/>
    <w:unhideWhenUsed/>
    <w:rsid w:val="008A5275"/>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4248">
      <w:bodyDiv w:val="1"/>
      <w:marLeft w:val="0"/>
      <w:marRight w:val="0"/>
      <w:marTop w:val="0"/>
      <w:marBottom w:val="0"/>
      <w:divBdr>
        <w:top w:val="none" w:sz="0" w:space="0" w:color="auto"/>
        <w:left w:val="none" w:sz="0" w:space="0" w:color="auto"/>
        <w:bottom w:val="none" w:sz="0" w:space="0" w:color="auto"/>
        <w:right w:val="none" w:sz="0" w:space="0" w:color="auto"/>
      </w:divBdr>
    </w:div>
    <w:div w:id="13839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325E-6BF3-458A-905A-F4E5AC66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Shadesha (NYC-MWM)</dc:creator>
  <cp:keywords/>
  <dc:description/>
  <cp:lastModifiedBy>Stevenson, Shadesha (NYC-MWM)</cp:lastModifiedBy>
  <cp:revision>2</cp:revision>
  <cp:lastPrinted>2020-01-23T19:18:00Z</cp:lastPrinted>
  <dcterms:created xsi:type="dcterms:W3CDTF">2020-02-04T15:14:00Z</dcterms:created>
  <dcterms:modified xsi:type="dcterms:W3CDTF">2020-02-04T15:14:00Z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ca4a54-d82a-437c-91ad-7a47e3e44b68_Enabled">
    <vt:lpwstr>True</vt:lpwstr>
  </property>
  <property fmtid="{D5CDD505-2E9C-101B-9397-08002B2CF9AE}" pid="3" name="MSIP_Label_36ca4a54-d82a-437c-91ad-7a47e3e44b68_SiteId">
    <vt:lpwstr>d026e4c1-5892-497a-b9da-ee493c9f0364</vt:lpwstr>
  </property>
  <property fmtid="{D5CDD505-2E9C-101B-9397-08002B2CF9AE}" pid="4" name="MSIP_Label_36ca4a54-d82a-437c-91ad-7a47e3e44b68_Owner">
    <vt:lpwstr>anne.cheung@interpublic.com</vt:lpwstr>
  </property>
  <property fmtid="{D5CDD505-2E9C-101B-9397-08002B2CF9AE}" pid="5" name="MSIP_Label_36ca4a54-d82a-437c-91ad-7a47e3e44b68_SetDate">
    <vt:lpwstr>2019-12-12T16:11:25.8503857Z</vt:lpwstr>
  </property>
  <property fmtid="{D5CDD505-2E9C-101B-9397-08002B2CF9AE}" pid="6" name="MSIP_Label_36ca4a54-d82a-437c-91ad-7a47e3e44b68_Name">
    <vt:lpwstr>Confidential</vt:lpwstr>
  </property>
  <property fmtid="{D5CDD505-2E9C-101B-9397-08002B2CF9AE}" pid="7" name="MSIP_Label_36ca4a54-d82a-437c-91ad-7a47e3e44b68_Application">
    <vt:lpwstr>Microsoft Azure Information Protection</vt:lpwstr>
  </property>
  <property fmtid="{D5CDD505-2E9C-101B-9397-08002B2CF9AE}" pid="8" name="MSIP_Label_36ca4a54-d82a-437c-91ad-7a47e3e44b68_ActionId">
    <vt:lpwstr>e7e505fd-e048-455b-a6d4-3566e8a3d9f0</vt:lpwstr>
  </property>
  <property fmtid="{D5CDD505-2E9C-101B-9397-08002B2CF9AE}" pid="9" name="MSIP_Label_36ca4a54-d82a-437c-91ad-7a47e3e44b68_Extended_MSFT_Method">
    <vt:lpwstr>Manual</vt:lpwstr>
  </property>
  <property fmtid="{D5CDD505-2E9C-101B-9397-08002B2CF9AE}" pid="10" name="Sensitivity">
    <vt:lpwstr>Confidential</vt:lpwstr>
  </property>
</Properties>
</file>